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Oughtrington Pre-School, Oughtrington Community Centre,Oughtrington Crescent, Lymm, Cheshire, WA13 9JD (Telephone 07808 111 278/ 757155 )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Registered Charity Number 1038655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Oughtringtonpreschool@gmail.com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i w:val="1"/>
          <w:color w:val="76923c"/>
          <w:sz w:val="24"/>
          <w:szCs w:val="24"/>
        </w:rPr>
      </w:pPr>
      <w:r w:rsidDel="00000000" w:rsidR="00000000" w:rsidRPr="00000000">
        <w:rPr>
          <w:b w:val="1"/>
          <w:i w:val="1"/>
          <w:color w:val="76923c"/>
          <w:sz w:val="24"/>
          <w:szCs w:val="24"/>
          <w:rtl w:val="0"/>
        </w:rPr>
        <w:t xml:space="preserve">'Supporting Children to Flourish, Respecting and Nurturing their Individuality and Developing Strengths in Preparations for their Unique Learning Journey.' </w:t>
      </w:r>
    </w:p>
    <w:p w:rsidR="00000000" w:rsidDel="00000000" w:rsidP="00000000" w:rsidRDefault="00000000" w:rsidRPr="00000000" w14:paraId="00000005">
      <w:pPr>
        <w:pStyle w:val="Heading1"/>
        <w:spacing w:after="0" w:before="480" w:line="276" w:lineRule="auto"/>
        <w:jc w:val="center"/>
        <w:rPr>
          <w:rFonts w:ascii="Calibri" w:cs="Calibri" w:eastAsia="Calibri" w:hAnsi="Calibri"/>
          <w:sz w:val="28"/>
          <w:szCs w:val="28"/>
          <w:u w:val="single"/>
        </w:rPr>
      </w:pPr>
      <w:bookmarkStart w:colFirst="0" w:colLast="0" w:name="_pddbbx6gjadz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Child Abuse/ Neglect </w:t>
      </w:r>
    </w:p>
    <w:p w:rsidR="00000000" w:rsidDel="00000000" w:rsidP="00000000" w:rsidRDefault="00000000" w:rsidRPr="00000000" w14:paraId="00000006">
      <w:pPr>
        <w:spacing w:after="200"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Main Types of Abuse and Key Indicators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Physical Abuse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Unexplained injuries, pattern marks, bruises on soft areas (ears/torso/neck).</w:t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Inconsistent explanations; delay seeking help; child flinches/shies from contact.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Behavioural changes: aggression, withdrawal, fearfulness.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Emotional Abuse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Low self-esteem; over‑compliance or extreme behaviours; developmental regression.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Exposure to persistent criticism, rejection or domestic abuse.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Sleep problems, nightmares; anxiety that’s not typical for age.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Sexual Abuse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Sexualised behaviour/language not age appropriate.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Soreness/bleeding; STIs; fear of bathrooms or particular people.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Sudden behaviour change; disclosure (direct or indirect).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Neglect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Consistently poor hygiene; ill‑fitting/inappropriate clothing; faltering growth.</w:t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Untreated medical issues; frequent hunger/hoarding food.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Lack of supervision; unsafe home reports; persistent late collection.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Specific Risks (watch-fors)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Child-on-child abuse (including harmful sexual behaviour).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Domestic abuse (impact on children).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Child sexual/criminal exploitation (CSE/CCE), including county lines.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Online abuse and grooming; indecent images; unsafe contact.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Female Genital Mutilation (FGM) – mandatory police report for known cases in under‑18s by regulated professionals.</w:t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Breast ironing/flattening.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Fabricated or Induced Illness (FII).</w:t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Private fostering (child living with non‑relative for 28+ days) – notify the LA.</w:t>
      </w:r>
    </w:p>
    <w:p w:rsidR="00000000" w:rsidDel="00000000" w:rsidP="00000000" w:rsidRDefault="00000000" w:rsidRPr="00000000" w14:paraId="0000002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Children Missing Education (CME).</w:t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Radicalisation – Prevent duty; British Values.</w:t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ACEs / ‘Toxic trio’ context (domestic abuse, parental substance misuse, parental mental ill‑health).</w:t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What To Do – Every Time</w:t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1) Listen and reassure. Don’t promise confidentiality. Avoid leading questions.2) Record promptly and factually (child’s words in quotes, date/time, body map if needed).3) Inform the DSL (Mollie Linley) the same day. If at immediate risk, call 999.4) If it concerns staff/volunteer conduct towards a child: tell the DSL and consult LADO without delay.5) For advice/referral: contact MASH. Use Early Help/MARS for emerging needs; escalate if risk increases.</w:t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Key Contacts (Warrington)</w:t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• DSL: Mollie Linley   •   Deputy DSL: Jemma Walsh• Warrington MASH (office hours): 01925 443322 (press 1 and say ‘MASH’)• Out of Hours/Emergency Duty Team: 01925 444400• LADO (allegations about staff/volunteers): 01925 442079   •   LADO@warrington.gov.uk• Police: 999 emergency / 101 non‑emergency• NSPCC Whistleblowing Advice Line (re organisational child protection): 0800 028 0285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Information Sharing &amp; Legal Frameworks</w:t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It’s lawful to share information to safeguard children. Follow our Confidentiality and Data Protection policies. Key references: Working Together to Safeguard Children (2023), EYFS Statutory Framework (2025), Prevent Duty Guidance, Information Sharing Advice (DfE 2024), Children Acts 1989/2004, Childcare Act 2006, Equality Act 2010, UK GDPR/Data Protection Act 2018.</w:t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Note &amp; Review</w:t>
      </w:r>
    </w:p>
    <w:p w:rsidR="00000000" w:rsidDel="00000000" w:rsidP="00000000" w:rsidRDefault="00000000" w:rsidRPr="00000000" w14:paraId="0000002A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quick reference supports (and does not replace) the full Safeguarding &amp; Child Protection Policy, which contains detailed procedures and expanded indicators. Updated September 2025 • Review annually or sooner if guidance changes.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ughtringtonpresch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